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E6B77" w:rsidRDefault="00C62577">
      <w:pPr>
        <w:pStyle w:val="Heading2"/>
      </w:pPr>
      <w:bookmarkStart w:id="0" w:name="credit-card-comparison-worksheet"/>
      <w:r>
        <w:rPr>
          <w:rFonts w:ascii="Arial" w:hAnsi="Arial"/>
          <w:sz w:val="40"/>
        </w:rPr>
        <w:t>Credit Card Comparison Worksheet</w:t>
      </w:r>
    </w:p>
    <w:p w:rsidR="004E6B77" w:rsidRDefault="00C62577">
      <w:pPr>
        <w:pStyle w:val="FirstParagraph"/>
      </w:pPr>
      <w:r>
        <w:rPr>
          <w:rFonts w:ascii="Arial" w:hAnsi="Arial"/>
        </w:rPr>
        <w:t>This worksheet is designed to help you evaluate and compare different credit card offers side-by-side. By documenting the specific terms, rewards structures, and fees of various cards, you can make an informed decision that aligns with your financial habit</w:t>
      </w:r>
      <w:r>
        <w:rPr>
          <w:rFonts w:ascii="Arial" w:hAnsi="Arial"/>
        </w:rPr>
        <w:t>s and goals.</w:t>
      </w:r>
    </w:p>
    <w:p w:rsidR="004E6B77" w:rsidRDefault="00C62577">
      <w:pPr>
        <w:pStyle w:val="BodyText"/>
      </w:pPr>
      <w:r>
        <w:rPr>
          <w:rFonts w:ascii="Arial" w:hAnsi="Arial"/>
        </w:rPr>
        <w:br/>
      </w:r>
    </w:p>
    <w:p w:rsidR="004E6B77" w:rsidRDefault="00C62577">
      <w:pPr>
        <w:pStyle w:val="Heading3"/>
      </w:pPr>
      <w:bookmarkStart w:id="1" w:name="card-comparison-table"/>
      <w:r>
        <w:rPr>
          <w:rFonts w:ascii="Arial" w:hAnsi="Arial"/>
          <w:sz w:val="36"/>
        </w:rPr>
        <w:t>Card Comparison Table</w:t>
      </w:r>
    </w:p>
    <w:p w:rsidR="004E6B77" w:rsidRDefault="00C62577">
      <w:pPr>
        <w:pStyle w:val="FirstParagraph"/>
      </w:pPr>
      <w:r>
        <w:rPr>
          <w:rFonts w:ascii="Arial" w:hAnsi="Arial"/>
        </w:rPr>
        <w:t>Fill in the details for up to three cards below. You can paste details directly from bank websites into the 'Additional Notes' section.</w:t>
      </w:r>
    </w:p>
    <w:tbl>
      <w:tblPr>
        <w:tblStyle w:val="Table"/>
        <w:tblW w:w="0" w:type="auto"/>
        <w:tblLook w:val="0020" w:firstRow="1" w:lastRow="0" w:firstColumn="0" w:lastColumn="0" w:noHBand="0" w:noVBand="0"/>
      </w:tblPr>
      <w:tblGrid>
        <w:gridCol w:w="3456"/>
        <w:gridCol w:w="963"/>
        <w:gridCol w:w="963"/>
        <w:gridCol w:w="977"/>
      </w:tblGrid>
      <w:tr w:rsidR="004E6B77" w:rsidTr="004E6B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E6B77" w:rsidRDefault="00C62577">
            <w:pPr>
              <w:pStyle w:val="Compact"/>
            </w:pPr>
            <w:r>
              <w:rPr>
                <w:rFonts w:ascii="Arial" w:hAnsi="Arial"/>
              </w:rPr>
              <w:t>Feature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E6B77" w:rsidRDefault="00C62577">
            <w:pPr>
              <w:pStyle w:val="Compact"/>
            </w:pPr>
            <w:r>
              <w:rPr>
                <w:rFonts w:ascii="Arial" w:hAnsi="Arial"/>
              </w:rPr>
              <w:t>Card A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E6B77" w:rsidRDefault="00C62577">
            <w:pPr>
              <w:pStyle w:val="Compact"/>
            </w:pPr>
            <w:r>
              <w:rPr>
                <w:rFonts w:ascii="Arial" w:hAnsi="Arial"/>
              </w:rPr>
              <w:t>Card B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E6B77" w:rsidRDefault="00C62577">
            <w:pPr>
              <w:pStyle w:val="Compact"/>
            </w:pPr>
            <w:r>
              <w:rPr>
                <w:rFonts w:ascii="Arial" w:hAnsi="Arial"/>
              </w:rPr>
              <w:t>Card C</w:t>
            </w:r>
          </w:p>
        </w:tc>
      </w:tr>
      <w:tr w:rsidR="004E6B77" w:rsidTr="004E6B77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E6B77" w:rsidRDefault="00C62577">
            <w:pPr>
              <w:pStyle w:val="Compact"/>
            </w:pPr>
            <w:r>
              <w:rPr>
                <w:rFonts w:ascii="Arial" w:hAnsi="Arial"/>
                <w:b/>
                <w:bCs/>
              </w:rPr>
              <w:t>Card Name / Bank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E6B77" w:rsidRDefault="004E6B77">
            <w:pPr>
              <w:pStyle w:val="Compact"/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E6B77" w:rsidRDefault="004E6B77">
            <w:pPr>
              <w:pStyle w:val="Compact"/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E6B77" w:rsidRDefault="004E6B77">
            <w:pPr>
              <w:pStyle w:val="Compact"/>
            </w:pPr>
          </w:p>
        </w:tc>
      </w:tr>
      <w:tr w:rsidR="004E6B77" w:rsidTr="004E6B77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E6B77" w:rsidRDefault="00C62577">
            <w:pPr>
              <w:pStyle w:val="Compact"/>
            </w:pPr>
            <w:r>
              <w:rPr>
                <w:rFonts w:ascii="Arial" w:hAnsi="Arial"/>
                <w:b/>
                <w:bCs/>
              </w:rPr>
              <w:t>Annual Fee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E6B77" w:rsidRDefault="004E6B77">
            <w:pPr>
              <w:pStyle w:val="Compact"/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E6B77" w:rsidRDefault="004E6B77">
            <w:pPr>
              <w:pStyle w:val="Compact"/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E6B77" w:rsidRDefault="004E6B77">
            <w:pPr>
              <w:pStyle w:val="Compact"/>
            </w:pPr>
          </w:p>
        </w:tc>
      </w:tr>
      <w:tr w:rsidR="004E6B77" w:rsidTr="004E6B77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E6B77" w:rsidRDefault="00C62577">
            <w:pPr>
              <w:pStyle w:val="Compact"/>
            </w:pPr>
            <w:r>
              <w:rPr>
                <w:rFonts w:ascii="Arial" w:hAnsi="Arial"/>
                <w:b/>
                <w:bCs/>
              </w:rPr>
              <w:t>Intro APR (Duration)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E6B77" w:rsidRDefault="004E6B77">
            <w:pPr>
              <w:pStyle w:val="Compact"/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E6B77" w:rsidRDefault="004E6B77">
            <w:pPr>
              <w:pStyle w:val="Compact"/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E6B77" w:rsidRDefault="004E6B77">
            <w:pPr>
              <w:pStyle w:val="Compact"/>
            </w:pPr>
          </w:p>
        </w:tc>
      </w:tr>
      <w:tr w:rsidR="004E6B77" w:rsidTr="004E6B77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E6B77" w:rsidRDefault="00C62577">
            <w:pPr>
              <w:pStyle w:val="Compact"/>
            </w:pPr>
            <w:r>
              <w:rPr>
                <w:rFonts w:ascii="Arial" w:hAnsi="Arial"/>
                <w:b/>
                <w:bCs/>
              </w:rPr>
              <w:t>Standard Purchase APR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E6B77" w:rsidRDefault="004E6B77">
            <w:pPr>
              <w:pStyle w:val="Compact"/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E6B77" w:rsidRDefault="004E6B77">
            <w:pPr>
              <w:pStyle w:val="Compact"/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E6B77" w:rsidRDefault="004E6B77">
            <w:pPr>
              <w:pStyle w:val="Compact"/>
            </w:pPr>
          </w:p>
        </w:tc>
      </w:tr>
      <w:tr w:rsidR="004E6B77" w:rsidTr="004E6B77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E6B77" w:rsidRDefault="00C62577">
            <w:pPr>
              <w:pStyle w:val="Compact"/>
            </w:pPr>
            <w:r>
              <w:rPr>
                <w:rFonts w:ascii="Arial" w:hAnsi="Arial"/>
                <w:b/>
                <w:bCs/>
              </w:rPr>
              <w:t>Sign-up Bonus Requirement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E6B77" w:rsidRDefault="004E6B77">
            <w:pPr>
              <w:pStyle w:val="Compact"/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E6B77" w:rsidRDefault="004E6B77">
            <w:pPr>
              <w:pStyle w:val="Compact"/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E6B77" w:rsidRDefault="004E6B77">
            <w:pPr>
              <w:pStyle w:val="Compact"/>
            </w:pPr>
          </w:p>
        </w:tc>
      </w:tr>
      <w:tr w:rsidR="004E6B77" w:rsidTr="004E6B77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E6B77" w:rsidRDefault="00C62577">
            <w:pPr>
              <w:pStyle w:val="Compact"/>
            </w:pPr>
            <w:r>
              <w:rPr>
                <w:rFonts w:ascii="Arial" w:hAnsi="Arial"/>
                <w:b/>
                <w:bCs/>
              </w:rPr>
              <w:t>Rewards Rate (Base)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E6B77" w:rsidRDefault="004E6B77">
            <w:pPr>
              <w:pStyle w:val="Compact"/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E6B77" w:rsidRDefault="004E6B77">
            <w:pPr>
              <w:pStyle w:val="Compact"/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E6B77" w:rsidRDefault="004E6B77">
            <w:pPr>
              <w:pStyle w:val="Compact"/>
            </w:pPr>
          </w:p>
        </w:tc>
      </w:tr>
      <w:tr w:rsidR="004E6B77" w:rsidTr="004E6B77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E6B77" w:rsidRDefault="00C62577">
            <w:pPr>
              <w:pStyle w:val="Compact"/>
            </w:pPr>
            <w:r>
              <w:rPr>
                <w:rFonts w:ascii="Arial" w:hAnsi="Arial"/>
                <w:b/>
                <w:bCs/>
              </w:rPr>
              <w:t>Rewards Rate (Categories)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E6B77" w:rsidRDefault="004E6B77">
            <w:pPr>
              <w:pStyle w:val="Compact"/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E6B77" w:rsidRDefault="004E6B77">
            <w:pPr>
              <w:pStyle w:val="Compact"/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E6B77" w:rsidRDefault="004E6B77">
            <w:pPr>
              <w:pStyle w:val="Compact"/>
            </w:pPr>
          </w:p>
        </w:tc>
      </w:tr>
      <w:tr w:rsidR="004E6B77" w:rsidTr="004E6B77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E6B77" w:rsidRDefault="00C62577">
            <w:pPr>
              <w:pStyle w:val="Compact"/>
            </w:pPr>
            <w:r>
              <w:rPr>
                <w:rFonts w:ascii="Arial" w:hAnsi="Arial"/>
                <w:b/>
                <w:bCs/>
              </w:rPr>
              <w:t>Foreign Transaction Fees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E6B77" w:rsidRDefault="004E6B77">
            <w:pPr>
              <w:pStyle w:val="Compact"/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E6B77" w:rsidRDefault="004E6B77">
            <w:pPr>
              <w:pStyle w:val="Compact"/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E6B77" w:rsidRDefault="004E6B77">
            <w:pPr>
              <w:pStyle w:val="Compact"/>
            </w:pPr>
          </w:p>
        </w:tc>
      </w:tr>
      <w:tr w:rsidR="004E6B77" w:rsidTr="004E6B77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E6B77" w:rsidRDefault="00C62577">
            <w:pPr>
              <w:pStyle w:val="Compact"/>
            </w:pPr>
            <w:r>
              <w:rPr>
                <w:rFonts w:ascii="Arial" w:hAnsi="Arial"/>
                <w:b/>
                <w:bCs/>
              </w:rPr>
              <w:t>Credit Score Required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E6B77" w:rsidRDefault="004E6B77">
            <w:pPr>
              <w:pStyle w:val="Compact"/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E6B77" w:rsidRDefault="004E6B77">
            <w:pPr>
              <w:pStyle w:val="Compact"/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E6B77" w:rsidRDefault="004E6B77">
            <w:pPr>
              <w:pStyle w:val="Compact"/>
            </w:pPr>
          </w:p>
        </w:tc>
      </w:tr>
    </w:tbl>
    <w:p w:rsidR="004E6B77" w:rsidRDefault="00C62577">
      <w:pPr>
        <w:pStyle w:val="BodyText"/>
      </w:pPr>
      <w:r>
        <w:rPr>
          <w:rFonts w:ascii="Arial" w:hAnsi="Arial"/>
        </w:rPr>
        <w:br/>
      </w:r>
    </w:p>
    <w:p w:rsidR="004E6B77" w:rsidRDefault="00C62577">
      <w:pPr>
        <w:pStyle w:val="BodyText"/>
      </w:pPr>
      <w:r>
        <w:rPr>
          <w:rFonts w:ascii="Arial" w:hAnsi="Arial"/>
          <w:b/>
          <w:bCs/>
        </w:rPr>
        <w:t>Sample Area / Clippings:</w:t>
      </w:r>
      <w:r>
        <w:rPr>
          <w:rFonts w:ascii="Arial" w:hAnsi="Arial"/>
        </w:rPr>
        <w:br/>
      </w:r>
      <w:r>
        <w:rPr>
          <w:rFonts w:ascii="Arial" w:hAnsi="Arial"/>
        </w:rPr>
        <w:t>[ ] Underlined area for pasting website snippets or notes: _____________________________________________________________________________________________________________________________________________________________________________________________________</w:t>
      </w:r>
      <w:r>
        <w:rPr>
          <w:rFonts w:ascii="Arial" w:hAnsi="Arial"/>
        </w:rPr>
        <w:t>_______</w:t>
      </w:r>
    </w:p>
    <w:p w:rsidR="004E6B77" w:rsidRDefault="00C62577">
      <w:pPr>
        <w:pStyle w:val="BodyText"/>
      </w:pPr>
      <w:r>
        <w:rPr>
          <w:rFonts w:ascii="Arial" w:hAnsi="Arial"/>
        </w:rPr>
        <w:br/>
      </w:r>
    </w:p>
    <w:p w:rsidR="004E6B77" w:rsidRDefault="00C62577">
      <w:pPr>
        <w:pStyle w:val="Heading3"/>
      </w:pPr>
      <w:bookmarkStart w:id="2" w:name="personal-use-scoring"/>
      <w:bookmarkEnd w:id="1"/>
      <w:r>
        <w:rPr>
          <w:rFonts w:ascii="Arial" w:hAnsi="Arial"/>
          <w:sz w:val="36"/>
        </w:rPr>
        <w:t>Personal Use &amp; Scoring</w:t>
      </w:r>
    </w:p>
    <w:p w:rsidR="004E6B77" w:rsidRDefault="00C62577">
      <w:pPr>
        <w:pStyle w:val="FirstParagraph"/>
      </w:pPr>
      <w:r>
        <w:rPr>
          <w:rFonts w:ascii="Arial" w:hAnsi="Arial"/>
        </w:rPr>
        <w:t>Complete this section to determine which card fits your specific spending profile.</w:t>
      </w:r>
    </w:p>
    <w:p w:rsidR="004E6B77" w:rsidRDefault="00C62577">
      <w:pPr>
        <w:pStyle w:val="BodyText"/>
      </w:pPr>
      <w:r>
        <w:rPr>
          <w:rFonts w:ascii="Arial" w:hAnsi="Arial"/>
          <w:b/>
          <w:bCs/>
        </w:rPr>
        <w:t>Estimated Annual Spend:</w:t>
      </w:r>
      <w:r>
        <w:rPr>
          <w:rFonts w:ascii="Arial" w:hAnsi="Arial"/>
        </w:rPr>
        <w:t xml:space="preserve"> $____________________</w:t>
      </w:r>
      <w:r>
        <w:rPr>
          <w:rFonts w:ascii="Arial" w:hAnsi="Arial"/>
        </w:rPr>
        <w:br/>
      </w:r>
      <w:r>
        <w:rPr>
          <w:rFonts w:ascii="Arial" w:hAnsi="Arial"/>
          <w:b/>
          <w:bCs/>
        </w:rPr>
        <w:t>Typical Monthly Balance:</w:t>
      </w:r>
      <w:r>
        <w:rPr>
          <w:rFonts w:ascii="Arial" w:hAnsi="Arial"/>
        </w:rPr>
        <w:t xml:space="preserve"> $____________________</w:t>
      </w:r>
    </w:p>
    <w:p w:rsidR="004E6B77" w:rsidRDefault="00C62577">
      <w:pPr>
        <w:pStyle w:val="BodyText"/>
      </w:pPr>
      <w:r>
        <w:rPr>
          <w:rFonts w:ascii="Arial" w:hAnsi="Arial"/>
          <w:b/>
          <w:bCs/>
        </w:rPr>
        <w:lastRenderedPageBreak/>
        <w:t>Primary Use Category (Select one):</w:t>
      </w:r>
      <w:r>
        <w:rPr>
          <w:rFonts w:ascii="Arial" w:hAnsi="Arial"/>
        </w:rPr>
        <w:br/>
        <w:t>[ ] Daily Ex</w:t>
      </w:r>
      <w:r>
        <w:rPr>
          <w:rFonts w:ascii="Arial" w:hAnsi="Arial"/>
        </w:rPr>
        <w:t>penses/Cash Back</w:t>
      </w:r>
      <w:r>
        <w:rPr>
          <w:rFonts w:ascii="Arial" w:hAnsi="Arial"/>
        </w:rPr>
        <w:br/>
        <w:t>[ ] Travel/Points Accumulation</w:t>
      </w:r>
      <w:r>
        <w:rPr>
          <w:rFonts w:ascii="Arial" w:hAnsi="Arial"/>
        </w:rPr>
        <w:br/>
        <w:t>[ ] Debt Consolidation (Balance Transfer)</w:t>
      </w:r>
      <w:r>
        <w:rPr>
          <w:rFonts w:ascii="Arial" w:hAnsi="Arial"/>
        </w:rPr>
        <w:br/>
        <w:t>[ ] Building or Repairing Credit</w:t>
      </w:r>
    </w:p>
    <w:p w:rsidR="004E6B77" w:rsidRDefault="00C62577">
      <w:pPr>
        <w:pStyle w:val="BodyText"/>
      </w:pPr>
      <w:r>
        <w:rPr>
          <w:rFonts w:ascii="Arial" w:hAnsi="Arial"/>
        </w:rPr>
        <w:br/>
      </w:r>
    </w:p>
    <w:p w:rsidR="004E6B77" w:rsidRDefault="00C62577">
      <w:pPr>
        <w:pStyle w:val="BodyText"/>
      </w:pPr>
      <w:r>
        <w:rPr>
          <w:rFonts w:ascii="Arial" w:hAnsi="Arial"/>
          <w:b/>
          <w:bCs/>
        </w:rPr>
        <w:t>Quick Scoring Rubric (Weights):</w:t>
      </w:r>
      <w:r>
        <w:rPr>
          <w:rFonts w:ascii="Arial" w:hAnsi="Arial"/>
        </w:rPr>
        <w:br/>
        <w:t>1. Fees (30%): Low or $0 fees score higher.</w:t>
      </w:r>
      <w:r>
        <w:rPr>
          <w:rFonts w:ascii="Arial" w:hAnsi="Arial"/>
        </w:rPr>
        <w:br/>
        <w:t>2. Rewards (40%): Higher percentage on your top spend c</w:t>
      </w:r>
      <w:r>
        <w:rPr>
          <w:rFonts w:ascii="Arial" w:hAnsi="Arial"/>
        </w:rPr>
        <w:t>ategories score higher.</w:t>
      </w:r>
      <w:r>
        <w:rPr>
          <w:rFonts w:ascii="Arial" w:hAnsi="Arial"/>
        </w:rPr>
        <w:br/>
        <w:t>3. Sign-up Bonus (20%): Ease of reaching the spend threshold.</w:t>
      </w:r>
      <w:r>
        <w:rPr>
          <w:rFonts w:ascii="Arial" w:hAnsi="Arial"/>
        </w:rPr>
        <w:br/>
        <w:t>4. Perks (10%): Insurance, lounge access, or purchase protection.</w:t>
      </w:r>
    </w:p>
    <w:tbl>
      <w:tblPr>
        <w:tblStyle w:val="Table"/>
        <w:tblW w:w="0" w:type="auto"/>
        <w:tblLook w:val="0020" w:firstRow="1" w:lastRow="0" w:firstColumn="0" w:lastColumn="0" w:noHBand="0" w:noVBand="0"/>
      </w:tblPr>
      <w:tblGrid>
        <w:gridCol w:w="2524"/>
        <w:gridCol w:w="963"/>
        <w:gridCol w:w="963"/>
        <w:gridCol w:w="977"/>
      </w:tblGrid>
      <w:tr w:rsidR="004E6B77" w:rsidTr="004E6B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E6B77" w:rsidRDefault="00C62577">
            <w:pPr>
              <w:pStyle w:val="Compact"/>
            </w:pPr>
            <w:r>
              <w:rPr>
                <w:rFonts w:ascii="Arial" w:hAnsi="Arial"/>
              </w:rPr>
              <w:t>Metric (1-10 Scale)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E6B77" w:rsidRDefault="00C62577">
            <w:pPr>
              <w:pStyle w:val="Compact"/>
            </w:pPr>
            <w:r>
              <w:rPr>
                <w:rFonts w:ascii="Arial" w:hAnsi="Arial"/>
              </w:rPr>
              <w:t>Card A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E6B77" w:rsidRDefault="00C62577">
            <w:pPr>
              <w:pStyle w:val="Compact"/>
            </w:pPr>
            <w:r>
              <w:rPr>
                <w:rFonts w:ascii="Arial" w:hAnsi="Arial"/>
              </w:rPr>
              <w:t>Card B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E6B77" w:rsidRDefault="00C62577">
            <w:pPr>
              <w:pStyle w:val="Compact"/>
            </w:pPr>
            <w:r>
              <w:rPr>
                <w:rFonts w:ascii="Arial" w:hAnsi="Arial"/>
              </w:rPr>
              <w:t>Card C</w:t>
            </w:r>
          </w:p>
        </w:tc>
      </w:tr>
      <w:tr w:rsidR="004E6B77" w:rsidTr="004E6B77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E6B77" w:rsidRDefault="00C62577">
            <w:pPr>
              <w:pStyle w:val="Compact"/>
            </w:pPr>
            <w:r>
              <w:rPr>
                <w:rFonts w:ascii="Arial" w:hAnsi="Arial"/>
              </w:rPr>
              <w:t>Total Weighted Score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E6B77" w:rsidRDefault="004E6B77">
            <w:pPr>
              <w:pStyle w:val="Compact"/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E6B77" w:rsidRDefault="004E6B77">
            <w:pPr>
              <w:pStyle w:val="Compact"/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E6B77" w:rsidRDefault="004E6B77">
            <w:pPr>
              <w:pStyle w:val="Compact"/>
            </w:pPr>
          </w:p>
        </w:tc>
      </w:tr>
    </w:tbl>
    <w:p w:rsidR="004E6B77" w:rsidRDefault="00C62577">
      <w:pPr>
        <w:pStyle w:val="BodyText"/>
      </w:pPr>
      <w:r>
        <w:rPr>
          <w:rFonts w:ascii="Arial" w:hAnsi="Arial"/>
        </w:rPr>
        <w:br/>
      </w:r>
    </w:p>
    <w:p w:rsidR="004E6B77" w:rsidRDefault="00C62577">
      <w:pPr>
        <w:pStyle w:val="Heading3"/>
      </w:pPr>
      <w:bookmarkStart w:id="3" w:name="notes-tips-how-to-choose-a-card"/>
      <w:bookmarkEnd w:id="2"/>
      <w:r>
        <w:rPr>
          <w:rFonts w:ascii="Arial" w:hAnsi="Arial"/>
          <w:sz w:val="36"/>
        </w:rPr>
        <w:t>Notes &amp; Tips: How to Choose a Card</w:t>
      </w:r>
    </w:p>
    <w:p w:rsidR="004E6B77" w:rsidRDefault="00C62577">
      <w:pPr>
        <w:pStyle w:val="Compact"/>
        <w:numPr>
          <w:ilvl w:val="0"/>
          <w:numId w:val="2"/>
        </w:numPr>
      </w:pPr>
      <w:r>
        <w:rPr>
          <w:rFonts w:ascii="Arial" w:hAnsi="Arial"/>
          <w:b/>
          <w:bCs/>
        </w:rPr>
        <w:t>Know Your Credit Score:</w:t>
      </w:r>
      <w:r>
        <w:rPr>
          <w:rFonts w:ascii="Arial" w:hAnsi="Arial"/>
        </w:rPr>
        <w:t xml:space="preserve"> Only apply for cards where your score meets the minimum requirements to avoid unnecessary hard inquiries.</w:t>
      </w:r>
    </w:p>
    <w:p w:rsidR="004E6B77" w:rsidRDefault="00C62577">
      <w:pPr>
        <w:pStyle w:val="Compact"/>
        <w:numPr>
          <w:ilvl w:val="0"/>
          <w:numId w:val="2"/>
        </w:numPr>
      </w:pPr>
      <w:r>
        <w:rPr>
          <w:rFonts w:ascii="Arial" w:hAnsi="Arial"/>
          <w:b/>
          <w:bCs/>
        </w:rPr>
        <w:t>Analyze Your Spending:</w:t>
      </w:r>
      <w:r>
        <w:rPr>
          <w:rFonts w:ascii="Arial" w:hAnsi="Arial"/>
        </w:rPr>
        <w:t xml:space="preserve"> Choose a card that offers high rewards in categories where you spend the most (e.g., groceries, gas, or</w:t>
      </w:r>
      <w:r>
        <w:rPr>
          <w:rFonts w:ascii="Arial" w:hAnsi="Arial"/>
        </w:rPr>
        <w:t xml:space="preserve"> dining).</w:t>
      </w:r>
    </w:p>
    <w:p w:rsidR="004E6B77" w:rsidRDefault="00C62577">
      <w:pPr>
        <w:pStyle w:val="Compact"/>
        <w:numPr>
          <w:ilvl w:val="0"/>
          <w:numId w:val="2"/>
        </w:numPr>
      </w:pPr>
      <w:r>
        <w:rPr>
          <w:rFonts w:ascii="Arial" w:hAnsi="Arial"/>
          <w:b/>
          <w:bCs/>
        </w:rPr>
        <w:t>Calculate the Net Value:</w:t>
      </w:r>
      <w:r>
        <w:rPr>
          <w:rFonts w:ascii="Arial" w:hAnsi="Arial"/>
        </w:rPr>
        <w:t xml:space="preserve"> Subtract the annual fee from the estimated rewards you will earn to see the true value.</w:t>
      </w:r>
    </w:p>
    <w:p w:rsidR="004E6B77" w:rsidRDefault="00C62577">
      <w:pPr>
        <w:pStyle w:val="Compact"/>
        <w:numPr>
          <w:ilvl w:val="0"/>
          <w:numId w:val="2"/>
        </w:numPr>
      </w:pPr>
      <w:r>
        <w:rPr>
          <w:rFonts w:ascii="Arial" w:hAnsi="Arial"/>
          <w:b/>
          <w:bCs/>
        </w:rPr>
        <w:t>Check the Bonus Requirements:</w:t>
      </w:r>
      <w:r>
        <w:rPr>
          <w:rFonts w:ascii="Arial" w:hAnsi="Arial"/>
        </w:rPr>
        <w:t xml:space="preserve"> Ensure you can hit the sign-up bonus spend threshold without overspending your budget.</w:t>
      </w:r>
    </w:p>
    <w:p w:rsidR="004E6B77" w:rsidRDefault="00C62577">
      <w:pPr>
        <w:pStyle w:val="Compact"/>
        <w:numPr>
          <w:ilvl w:val="0"/>
          <w:numId w:val="2"/>
        </w:numPr>
      </w:pPr>
      <w:r>
        <w:rPr>
          <w:rFonts w:ascii="Arial" w:hAnsi="Arial"/>
          <w:b/>
          <w:bCs/>
        </w:rPr>
        <w:t>Understand APR:</w:t>
      </w:r>
      <w:r>
        <w:rPr>
          <w:rFonts w:ascii="Arial" w:hAnsi="Arial"/>
        </w:rPr>
        <w:t xml:space="preserve"> </w:t>
      </w:r>
      <w:r>
        <w:rPr>
          <w:rFonts w:ascii="Arial" w:hAnsi="Arial"/>
        </w:rPr>
        <w:t>If you plan to carry a balance, a low interest rate is more valuable than rewards.</w:t>
      </w:r>
    </w:p>
    <w:p w:rsidR="004E6B77" w:rsidRDefault="00C62577">
      <w:pPr>
        <w:pStyle w:val="Compact"/>
        <w:numPr>
          <w:ilvl w:val="0"/>
          <w:numId w:val="2"/>
        </w:numPr>
      </w:pPr>
      <w:r>
        <w:rPr>
          <w:rFonts w:ascii="Arial" w:hAnsi="Arial"/>
          <w:b/>
          <w:bCs/>
        </w:rPr>
        <w:t>Watch for Hidden Fees:</w:t>
      </w:r>
      <w:r>
        <w:rPr>
          <w:rFonts w:ascii="Arial" w:hAnsi="Arial"/>
        </w:rPr>
        <w:t xml:space="preserve"> Check for late payment fees, over-limit fees, and foreign transaction fees if you travel.</w:t>
      </w:r>
    </w:p>
    <w:p w:rsidR="004E6B77" w:rsidRDefault="00C62577">
      <w:pPr>
        <w:pStyle w:val="Compact"/>
        <w:numPr>
          <w:ilvl w:val="0"/>
          <w:numId w:val="2"/>
        </w:numPr>
      </w:pPr>
      <w:r>
        <w:rPr>
          <w:rFonts w:ascii="Arial" w:hAnsi="Arial"/>
          <w:b/>
          <w:bCs/>
        </w:rPr>
        <w:t>Evaluate Extra Perks:</w:t>
      </w:r>
      <w:r>
        <w:rPr>
          <w:rFonts w:ascii="Arial" w:hAnsi="Arial"/>
        </w:rPr>
        <w:t xml:space="preserve"> Consider secondary benefits like cell </w:t>
      </w:r>
      <w:r>
        <w:rPr>
          <w:rFonts w:ascii="Arial" w:hAnsi="Arial"/>
        </w:rPr>
        <w:t>phone protection, rental car insurance, or extended warranties.</w:t>
      </w:r>
    </w:p>
    <w:p w:rsidR="004E6B77" w:rsidRDefault="00C62577">
      <w:pPr>
        <w:pStyle w:val="Compact"/>
        <w:numPr>
          <w:ilvl w:val="0"/>
          <w:numId w:val="2"/>
        </w:numPr>
      </w:pPr>
      <w:r>
        <w:rPr>
          <w:rFonts w:ascii="Arial" w:hAnsi="Arial"/>
          <w:b/>
          <w:bCs/>
        </w:rPr>
        <w:t>Avoid Over-fragmenting:</w:t>
      </w:r>
      <w:r>
        <w:rPr>
          <w:rFonts w:ascii="Arial" w:hAnsi="Arial"/>
        </w:rPr>
        <w:t xml:space="preserve"> Too many cards can make managing finances difficult; aim for 2-3 high-utility cards.</w:t>
      </w:r>
    </w:p>
    <w:p w:rsidR="004E6B77" w:rsidRDefault="00C62577">
      <w:pPr>
        <w:pStyle w:val="Compact"/>
        <w:numPr>
          <w:ilvl w:val="0"/>
          <w:numId w:val="2"/>
        </w:numPr>
      </w:pPr>
      <w:r>
        <w:rPr>
          <w:rFonts w:ascii="Arial" w:hAnsi="Arial"/>
          <w:b/>
          <w:bCs/>
        </w:rPr>
        <w:t>Look for 'No-Annual-Fee' Options:</w:t>
      </w:r>
      <w:r>
        <w:rPr>
          <w:rFonts w:ascii="Arial" w:hAnsi="Arial"/>
        </w:rPr>
        <w:t xml:space="preserve"> </w:t>
      </w:r>
      <w:r>
        <w:rPr>
          <w:rFonts w:ascii="Arial" w:hAnsi="Arial"/>
        </w:rPr>
        <w:t>Especially for your oldest credit line, as keeping it open indefinitely helps your credit age.</w:t>
      </w:r>
    </w:p>
    <w:p w:rsidR="004E6B77" w:rsidRPr="00604AE5" w:rsidRDefault="00C62577">
      <w:pPr>
        <w:pStyle w:val="Compact"/>
        <w:numPr>
          <w:ilvl w:val="0"/>
          <w:numId w:val="2"/>
        </w:numPr>
      </w:pPr>
      <w:r>
        <w:rPr>
          <w:rFonts w:ascii="Arial" w:hAnsi="Arial"/>
          <w:b/>
          <w:bCs/>
        </w:rPr>
        <w:t>Read the Fine Print:</w:t>
      </w:r>
      <w:r>
        <w:rPr>
          <w:rFonts w:ascii="Arial" w:hAnsi="Arial"/>
        </w:rPr>
        <w:t xml:space="preserve"> Terms can change; review the Schumer Box (the summary table of rates and fees) before signing.</w:t>
      </w:r>
    </w:p>
    <w:p w:rsidR="00604AE5" w:rsidRDefault="00604AE5" w:rsidP="00604AE5">
      <w:pPr>
        <w:pStyle w:val="Compact"/>
      </w:pPr>
    </w:p>
    <w:p w:rsidR="00604AE5" w:rsidRDefault="00604AE5" w:rsidP="00604AE5">
      <w:pPr>
        <w:pStyle w:val="Compact"/>
      </w:pPr>
    </w:p>
    <w:p w:rsidR="00604AE5" w:rsidRDefault="00604AE5" w:rsidP="00604AE5">
      <w:pPr>
        <w:pStyle w:val="NormalWeb"/>
        <w:spacing w:before="0" w:beforeAutospacing="0" w:after="0" w:afterAutospacing="0"/>
        <w:jc w:val="center"/>
      </w:pPr>
      <w:bookmarkStart w:id="4" w:name="_GoBack"/>
      <w:bookmarkEnd w:id="4"/>
      <w:r>
        <w:rPr>
          <w:rFonts w:ascii="Google Sans Text" w:hAnsi="Google Sans Text"/>
          <w:color w:val="000000"/>
          <w:sz w:val="22"/>
          <w:szCs w:val="22"/>
        </w:rPr>
        <w:t>© Credit Card Wind. All rights reserved.</w:t>
      </w:r>
      <w:bookmarkEnd w:id="0"/>
      <w:bookmarkEnd w:id="3"/>
    </w:p>
    <w:sectPr w:rsidR="00604AE5">
      <w:pgSz w:w="12240" w:h="15840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62577" w:rsidRDefault="00C62577">
      <w:pPr>
        <w:spacing w:after="0"/>
      </w:pPr>
      <w:r>
        <w:separator/>
      </w:r>
    </w:p>
  </w:endnote>
  <w:endnote w:type="continuationSeparator" w:id="0">
    <w:p w:rsidR="00C62577" w:rsidRDefault="00C62577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oogle Sans Text">
    <w:altName w:val="Times New Roman"/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62577" w:rsidRDefault="00C62577">
      <w:r>
        <w:separator/>
      </w:r>
    </w:p>
  </w:footnote>
  <w:footnote w:type="continuationSeparator" w:id="0">
    <w:p w:rsidR="00C62577" w:rsidRDefault="00C6257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A990"/>
    <w:multiLevelType w:val="multilevel"/>
    <w:tmpl w:val="A404A7F6"/>
    <w:lvl w:ilvl="0">
      <w:numFmt w:val="bullet"/>
      <w:lvlText w:val=" "/>
      <w:lvlJc w:val="left"/>
      <w:pPr>
        <w:ind w:left="720" w:hanging="480"/>
      </w:pPr>
    </w:lvl>
    <w:lvl w:ilvl="1">
      <w:numFmt w:val="bullet"/>
      <w:lvlText w:val=" "/>
      <w:lvlJc w:val="left"/>
      <w:pPr>
        <w:ind w:left="1440" w:hanging="480"/>
      </w:pPr>
    </w:lvl>
    <w:lvl w:ilvl="2">
      <w:numFmt w:val="bullet"/>
      <w:lvlText w:val=" "/>
      <w:lvlJc w:val="left"/>
      <w:pPr>
        <w:ind w:left="2160" w:hanging="480"/>
      </w:pPr>
    </w:lvl>
    <w:lvl w:ilvl="3">
      <w:numFmt w:val="bullet"/>
      <w:lvlText w:val=" "/>
      <w:lvlJc w:val="left"/>
      <w:pPr>
        <w:ind w:left="2880" w:hanging="480"/>
      </w:pPr>
    </w:lvl>
    <w:lvl w:ilvl="4">
      <w:numFmt w:val="bullet"/>
      <w:lvlText w:val=" "/>
      <w:lvlJc w:val="left"/>
      <w:pPr>
        <w:ind w:left="3600" w:hanging="480"/>
      </w:pPr>
    </w:lvl>
    <w:lvl w:ilvl="5">
      <w:numFmt w:val="bullet"/>
      <w:lvlText w:val=" "/>
      <w:lvlJc w:val="left"/>
      <w:pPr>
        <w:ind w:left="4320" w:hanging="480"/>
      </w:pPr>
    </w:lvl>
    <w:lvl w:ilvl="6">
      <w:numFmt w:val="bullet"/>
      <w:lvlText w:val=" "/>
      <w:lvlJc w:val="left"/>
      <w:pPr>
        <w:ind w:left="5040" w:hanging="480"/>
      </w:pPr>
    </w:lvl>
    <w:lvl w:ilvl="7">
      <w:numFmt w:val="bullet"/>
      <w:lvlText w:val=" "/>
      <w:lvlJc w:val="left"/>
      <w:pPr>
        <w:ind w:left="5760" w:hanging="480"/>
      </w:pPr>
    </w:lvl>
    <w:lvl w:ilvl="8">
      <w:numFmt w:val="bullet"/>
      <w:lvlText w:val=" "/>
      <w:lvlJc w:val="left"/>
      <w:pPr>
        <w:ind w:left="6480" w:hanging="480"/>
      </w:pPr>
    </w:lvl>
  </w:abstractNum>
  <w:abstractNum w:abstractNumId="1" w15:restartNumberingAfterBreak="0">
    <w:nsid w:val="0000A991"/>
    <w:multiLevelType w:val="multilevel"/>
    <w:tmpl w:val="FC9EEE0E"/>
    <w:lvl w:ilvl="0">
      <w:numFmt w:val="bullet"/>
      <w:lvlText w:val="•"/>
      <w:lvlJc w:val="left"/>
      <w:pPr>
        <w:ind w:left="720" w:hanging="480"/>
      </w:pPr>
    </w:lvl>
    <w:lvl w:ilvl="1">
      <w:numFmt w:val="bullet"/>
      <w:lvlText w:val="–"/>
      <w:lvlJc w:val="left"/>
      <w:pPr>
        <w:ind w:left="1440" w:hanging="480"/>
      </w:pPr>
    </w:lvl>
    <w:lvl w:ilvl="2">
      <w:numFmt w:val="bullet"/>
      <w:lvlText w:val="•"/>
      <w:lvlJc w:val="left"/>
      <w:pPr>
        <w:ind w:left="2160" w:hanging="480"/>
      </w:pPr>
    </w:lvl>
    <w:lvl w:ilvl="3">
      <w:numFmt w:val="bullet"/>
      <w:lvlText w:val="–"/>
      <w:lvlJc w:val="left"/>
      <w:pPr>
        <w:ind w:left="2880" w:hanging="480"/>
      </w:pPr>
    </w:lvl>
    <w:lvl w:ilvl="4">
      <w:numFmt w:val="bullet"/>
      <w:lvlText w:val="•"/>
      <w:lvlJc w:val="left"/>
      <w:pPr>
        <w:ind w:left="3600" w:hanging="480"/>
      </w:pPr>
    </w:lvl>
    <w:lvl w:ilvl="5">
      <w:numFmt w:val="bullet"/>
      <w:lvlText w:val="–"/>
      <w:lvlJc w:val="left"/>
      <w:pPr>
        <w:ind w:left="4320" w:hanging="480"/>
      </w:pPr>
    </w:lvl>
    <w:lvl w:ilvl="6">
      <w:numFmt w:val="bullet"/>
      <w:lvlText w:val="•"/>
      <w:lvlJc w:val="left"/>
      <w:pPr>
        <w:ind w:left="5040" w:hanging="480"/>
      </w:pPr>
    </w:lvl>
    <w:lvl w:ilvl="7">
      <w:numFmt w:val="bullet"/>
      <w:lvlText w:val="–"/>
      <w:lvlJc w:val="left"/>
      <w:pPr>
        <w:ind w:left="5760" w:hanging="480"/>
      </w:pPr>
    </w:lvl>
    <w:lvl w:ilvl="8">
      <w:numFmt w:val="bullet"/>
      <w:lvlText w:val="•"/>
      <w:lvlJc w:val="left"/>
      <w:pPr>
        <w:ind w:left="6480" w:hanging="4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stylePaneFormatFilter w:val="0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4E6B77"/>
    <w:rsid w:val="004E6B77"/>
    <w:rsid w:val="00604AE5"/>
    <w:rsid w:val="00C62577"/>
  </w:rsids>
  <m:mathPr>
    <m:mathFont m:val="Cambria Math"/>
    <m:brkBin m:val="before"/>
    <m:brkBinSub m:val="--"/>
    <m:smallFrac m:val="0"/>
    <m:dispDef/>
    <m:lMargin m:val="0"/>
    <m:rMargin m:val="0"/>
    <m:defJc m:val="centerGroup"/>
    <m:wrapRight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28E441"/>
  <w15:docId w15:val="{7B0DD371-A865-4FF3-8F58-8C84E5880E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0" w:defSemiHidden="0" w:defUnhideWhenUsed="0" w:defQFormat="0" w:count="371">
    <w:lsdException w:name="index 1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3" w:semiHidden="1" w:unhideWhenUsed="1"/>
    <w:lsdException w:name="List Number 4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BodyText"/>
    <w:uiPriority w:val="9"/>
    <w:qFormat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4F81BD" w:themeColor="accent1"/>
      <w:sz w:val="32"/>
      <w:szCs w:val="32"/>
    </w:rPr>
  </w:style>
  <w:style w:type="paragraph" w:styleId="Heading2">
    <w:name w:val="heading 2"/>
    <w:basedOn w:val="Normal"/>
    <w:next w:val="BodyText"/>
    <w:uiPriority w:val="9"/>
    <w:unhideWhenUsed/>
    <w:qFormat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8"/>
      <w:szCs w:val="28"/>
    </w:rPr>
  </w:style>
  <w:style w:type="paragraph" w:styleId="Heading3">
    <w:name w:val="heading 3"/>
    <w:basedOn w:val="Normal"/>
    <w:next w:val="BodyText"/>
    <w:uiPriority w:val="9"/>
    <w:unhideWhenUsed/>
    <w:qFormat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BodyText"/>
    <w:uiPriority w:val="9"/>
    <w:unhideWhenUsed/>
    <w:qFormat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Cs/>
      <w:i/>
      <w:color w:val="4F81BD" w:themeColor="accent1"/>
    </w:rPr>
  </w:style>
  <w:style w:type="paragraph" w:styleId="Heading5">
    <w:name w:val="heading 5"/>
    <w:basedOn w:val="Normal"/>
    <w:next w:val="BodyText"/>
    <w:uiPriority w:val="9"/>
    <w:unhideWhenUsed/>
    <w:qFormat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iCs/>
      <w:color w:val="4F81BD" w:themeColor="accent1"/>
    </w:rPr>
  </w:style>
  <w:style w:type="paragraph" w:styleId="Heading6">
    <w:name w:val="heading 6"/>
    <w:basedOn w:val="Normal"/>
    <w:next w:val="BodyText"/>
    <w:uiPriority w:val="9"/>
    <w:unhideWhenUsed/>
    <w:qFormat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color w:val="4F81BD" w:themeColor="accent1"/>
    </w:rPr>
  </w:style>
  <w:style w:type="paragraph" w:styleId="Heading7">
    <w:name w:val="heading 7"/>
    <w:basedOn w:val="Normal"/>
    <w:next w:val="BodyText"/>
    <w:uiPriority w:val="9"/>
    <w:unhideWhenUsed/>
    <w:qFormat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color w:val="4F81BD" w:themeColor="accent1"/>
    </w:rPr>
  </w:style>
  <w:style w:type="paragraph" w:styleId="Heading8">
    <w:name w:val="heading 8"/>
    <w:basedOn w:val="Normal"/>
    <w:next w:val="BodyText"/>
    <w:uiPriority w:val="9"/>
    <w:unhideWhenUsed/>
    <w:qFormat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</w:rPr>
  </w:style>
  <w:style w:type="paragraph" w:styleId="Heading9">
    <w:name w:val="heading 9"/>
    <w:basedOn w:val="Normal"/>
    <w:next w:val="BodyText"/>
    <w:uiPriority w:val="9"/>
    <w:unhideWhenUsed/>
    <w:qFormat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qFormat/>
    <w:pPr>
      <w:spacing w:before="180" w:after="180"/>
    </w:pPr>
  </w:style>
  <w:style w:type="paragraph" w:customStyle="1" w:styleId="FirstParagraph">
    <w:name w:val="First Paragraph"/>
    <w:basedOn w:val="BodyText"/>
    <w:next w:val="BodyText"/>
    <w:qFormat/>
  </w:style>
  <w:style w:type="paragraph" w:customStyle="1" w:styleId="Compact">
    <w:name w:val="Compact"/>
    <w:basedOn w:val="BodyText"/>
    <w:qFormat/>
    <w:pPr>
      <w:spacing w:before="36" w:after="36"/>
    </w:pPr>
  </w:style>
  <w:style w:type="paragraph" w:styleId="Title">
    <w:name w:val="Title"/>
    <w:basedOn w:val="Normal"/>
    <w:next w:val="BodyText"/>
    <w:qFormat/>
    <w:pPr>
      <w:keepNext/>
      <w:keepLines/>
      <w:spacing w:before="480" w:after="240"/>
      <w:jc w:val="center"/>
    </w:pPr>
    <w:rPr>
      <w:rFonts w:asciiTheme="majorHAnsi" w:eastAsiaTheme="majorEastAsia" w:hAnsiTheme="majorHAnsi" w:cstheme="majorBidi"/>
      <w:b/>
      <w:bCs/>
      <w:color w:val="345A8A" w:themeColor="accent1" w:themeShade="B5"/>
      <w:sz w:val="36"/>
      <w:szCs w:val="36"/>
    </w:rPr>
  </w:style>
  <w:style w:type="paragraph" w:styleId="Subtitle">
    <w:name w:val="Subtitle"/>
    <w:basedOn w:val="Title"/>
    <w:next w:val="BodyText"/>
    <w:qFormat/>
    <w:pPr>
      <w:spacing w:before="240"/>
    </w:pPr>
    <w:rPr>
      <w:sz w:val="30"/>
      <w:szCs w:val="30"/>
    </w:rPr>
  </w:style>
  <w:style w:type="paragraph" w:customStyle="1" w:styleId="Author">
    <w:name w:val="Author"/>
    <w:next w:val="BodyText"/>
    <w:qFormat/>
    <w:pPr>
      <w:keepNext/>
      <w:keepLines/>
      <w:jc w:val="center"/>
    </w:pPr>
  </w:style>
  <w:style w:type="paragraph" w:styleId="Date">
    <w:name w:val="Date"/>
    <w:next w:val="BodyText"/>
    <w:qFormat/>
    <w:pPr>
      <w:keepNext/>
      <w:keepLines/>
      <w:jc w:val="center"/>
    </w:pPr>
  </w:style>
  <w:style w:type="paragraph" w:customStyle="1" w:styleId="Abstract">
    <w:name w:val="Abstract"/>
    <w:basedOn w:val="Normal"/>
    <w:next w:val="BodyText"/>
    <w:qFormat/>
    <w:pPr>
      <w:keepNext/>
      <w:keepLines/>
      <w:spacing w:before="300" w:after="300"/>
    </w:pPr>
    <w:rPr>
      <w:sz w:val="20"/>
      <w:szCs w:val="20"/>
    </w:rPr>
  </w:style>
  <w:style w:type="paragraph" w:styleId="Bibliography">
    <w:name w:val="Bibliography"/>
    <w:basedOn w:val="Normal"/>
    <w:qFormat/>
  </w:style>
  <w:style w:type="paragraph" w:styleId="BlockText">
    <w:name w:val="Block Text"/>
    <w:basedOn w:val="BodyText"/>
    <w:next w:val="BodyText"/>
    <w:uiPriority w:val="9"/>
    <w:unhideWhenUsed/>
    <w:qFormat/>
    <w:pPr>
      <w:spacing w:before="100" w:after="100"/>
      <w:ind w:left="480" w:right="480"/>
    </w:pPr>
  </w:style>
  <w:style w:type="paragraph" w:styleId="FootnoteText">
    <w:name w:val="footnote text"/>
    <w:basedOn w:val="Normal"/>
    <w:uiPriority w:val="9"/>
    <w:unhideWhenUsed/>
    <w:qFormat/>
  </w:style>
  <w:style w:type="table" w:customStyle="1" w:styleId="Table">
    <w:name w:val="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tblPr>
        <w:jc w:val="left"/>
      </w:tblPr>
      <w:trPr>
        <w:jc w:val="left"/>
      </w:trPr>
      <w:tcPr>
        <w:tcBorders>
          <w:bottom w:val="single" w:sz="0" w:space="0" w:color="auto"/>
        </w:tcBorders>
        <w:vAlign w:val="bottom"/>
      </w:tcPr>
    </w:tblStylePr>
  </w:style>
  <w:style w:type="paragraph" w:customStyle="1" w:styleId="DefinitionTerm">
    <w:name w:val="Definition Term"/>
    <w:basedOn w:val="Normal"/>
    <w:next w:val="Definition"/>
    <w:pPr>
      <w:keepNext/>
      <w:keepLines/>
      <w:spacing w:after="0"/>
    </w:pPr>
    <w:rPr>
      <w:b/>
    </w:rPr>
  </w:style>
  <w:style w:type="paragraph" w:customStyle="1" w:styleId="Definition">
    <w:name w:val="Definition"/>
    <w:basedOn w:val="Normal"/>
  </w:style>
  <w:style w:type="paragraph" w:styleId="Caption">
    <w:name w:val="caption"/>
    <w:basedOn w:val="Normal"/>
    <w:link w:val="CaptionChar"/>
    <w:pPr>
      <w:spacing w:after="120"/>
    </w:pPr>
    <w:rPr>
      <w:i/>
    </w:rPr>
  </w:style>
  <w:style w:type="paragraph" w:customStyle="1" w:styleId="TableCaption">
    <w:name w:val="Table Caption"/>
    <w:basedOn w:val="Caption"/>
    <w:pPr>
      <w:keepNext/>
    </w:pPr>
  </w:style>
  <w:style w:type="paragraph" w:customStyle="1" w:styleId="ImageCaption">
    <w:name w:val="Image Caption"/>
    <w:basedOn w:val="Caption"/>
  </w:style>
  <w:style w:type="paragraph" w:customStyle="1" w:styleId="Figure">
    <w:name w:val="Figure"/>
    <w:basedOn w:val="Normal"/>
  </w:style>
  <w:style w:type="paragraph" w:customStyle="1" w:styleId="CaptionedFigure">
    <w:name w:val="Captioned Figure"/>
    <w:basedOn w:val="Figure"/>
    <w:pPr>
      <w:keepNext/>
    </w:pPr>
  </w:style>
  <w:style w:type="character" w:customStyle="1" w:styleId="CaptionChar">
    <w:name w:val="Caption Char"/>
    <w:basedOn w:val="DefaultParagraphFont"/>
    <w:link w:val="Caption"/>
  </w:style>
  <w:style w:type="character" w:customStyle="1" w:styleId="VerbatimChar">
    <w:name w:val="Verbatim Char"/>
    <w:basedOn w:val="CaptionChar"/>
    <w:link w:val="SourceCode"/>
    <w:rPr>
      <w:rFonts w:ascii="Consolas" w:hAnsi="Consolas"/>
      <w:sz w:val="22"/>
    </w:rPr>
  </w:style>
  <w:style w:type="character" w:customStyle="1" w:styleId="SectionNumber">
    <w:name w:val="Section Number"/>
    <w:basedOn w:val="CaptionChar"/>
  </w:style>
  <w:style w:type="character" w:styleId="FootnoteReference">
    <w:name w:val="footnote reference"/>
    <w:basedOn w:val="CaptionChar"/>
    <w:rPr>
      <w:vertAlign w:val="superscript"/>
    </w:rPr>
  </w:style>
  <w:style w:type="character" w:styleId="Hyperlink">
    <w:name w:val="Hyperlink"/>
    <w:basedOn w:val="CaptionChar"/>
    <w:rPr>
      <w:color w:val="4F81BD" w:themeColor="accent1"/>
    </w:rPr>
  </w:style>
  <w:style w:type="paragraph" w:styleId="TOCHeading">
    <w:name w:val="TOC Heading"/>
    <w:basedOn w:val="Heading1"/>
    <w:next w:val="BodyText"/>
    <w:uiPriority w:val="39"/>
    <w:unhideWhenUsed/>
    <w:qFormat/>
    <w:pPr>
      <w:spacing w:before="240" w:line="259" w:lineRule="auto"/>
      <w:outlineLvl w:val="9"/>
    </w:pPr>
    <w:rPr>
      <w:b w:val="0"/>
      <w:bCs w:val="0"/>
      <w:color w:val="365F91" w:themeColor="accent1" w:themeShade="BF"/>
    </w:rPr>
  </w:style>
  <w:style w:type="paragraph" w:customStyle="1" w:styleId="SourceCode">
    <w:name w:val="Source Code"/>
    <w:basedOn w:val="Normal"/>
    <w:link w:val="VerbatimChar"/>
    <w:pPr>
      <w:wordWrap w:val="0"/>
    </w:pPr>
  </w:style>
  <w:style w:type="character" w:customStyle="1" w:styleId="KeywordTok">
    <w:name w:val="KeywordTok"/>
    <w:basedOn w:val="VerbatimChar"/>
    <w:rPr>
      <w:rFonts w:ascii="Consolas" w:hAnsi="Consolas"/>
      <w:b/>
      <w:color w:val="007020"/>
      <w:sz w:val="22"/>
    </w:rPr>
  </w:style>
  <w:style w:type="character" w:customStyle="1" w:styleId="DataTypeTok">
    <w:name w:val="DataTypeTok"/>
    <w:basedOn w:val="VerbatimChar"/>
    <w:rPr>
      <w:rFonts w:ascii="Consolas" w:hAnsi="Consolas"/>
      <w:color w:val="902000"/>
      <w:sz w:val="22"/>
    </w:rPr>
  </w:style>
  <w:style w:type="character" w:customStyle="1" w:styleId="DecValTok">
    <w:name w:val="DecValTok"/>
    <w:basedOn w:val="VerbatimChar"/>
    <w:rPr>
      <w:rFonts w:ascii="Consolas" w:hAnsi="Consolas"/>
      <w:color w:val="40A070"/>
      <w:sz w:val="22"/>
    </w:rPr>
  </w:style>
  <w:style w:type="character" w:customStyle="1" w:styleId="BaseNTok">
    <w:name w:val="BaseNTok"/>
    <w:basedOn w:val="VerbatimChar"/>
    <w:rPr>
      <w:rFonts w:ascii="Consolas" w:hAnsi="Consolas"/>
      <w:color w:val="40A070"/>
      <w:sz w:val="22"/>
    </w:rPr>
  </w:style>
  <w:style w:type="character" w:customStyle="1" w:styleId="FloatTok">
    <w:name w:val="FloatTok"/>
    <w:basedOn w:val="VerbatimChar"/>
    <w:rPr>
      <w:rFonts w:ascii="Consolas" w:hAnsi="Consolas"/>
      <w:color w:val="40A070"/>
      <w:sz w:val="22"/>
    </w:rPr>
  </w:style>
  <w:style w:type="character" w:customStyle="1" w:styleId="ConstantTok">
    <w:name w:val="ConstantTok"/>
    <w:basedOn w:val="VerbatimChar"/>
    <w:rPr>
      <w:rFonts w:ascii="Consolas" w:hAnsi="Consolas"/>
      <w:color w:val="880000"/>
      <w:sz w:val="22"/>
    </w:rPr>
  </w:style>
  <w:style w:type="character" w:customStyle="1" w:styleId="CharTok">
    <w:name w:val="CharTok"/>
    <w:basedOn w:val="VerbatimChar"/>
    <w:rPr>
      <w:rFonts w:ascii="Consolas" w:hAnsi="Consolas"/>
      <w:color w:val="4070A0"/>
      <w:sz w:val="22"/>
    </w:rPr>
  </w:style>
  <w:style w:type="character" w:customStyle="1" w:styleId="SpecialCharTok">
    <w:name w:val="SpecialCharTok"/>
    <w:basedOn w:val="VerbatimChar"/>
    <w:rPr>
      <w:rFonts w:ascii="Consolas" w:hAnsi="Consolas"/>
      <w:color w:val="4070A0"/>
      <w:sz w:val="22"/>
    </w:rPr>
  </w:style>
  <w:style w:type="character" w:customStyle="1" w:styleId="StringTok">
    <w:name w:val="StringTok"/>
    <w:basedOn w:val="VerbatimChar"/>
    <w:rPr>
      <w:rFonts w:ascii="Consolas" w:hAnsi="Consolas"/>
      <w:color w:val="4070A0"/>
      <w:sz w:val="22"/>
    </w:rPr>
  </w:style>
  <w:style w:type="character" w:customStyle="1" w:styleId="VerbatimStringTok">
    <w:name w:val="VerbatimStringTok"/>
    <w:basedOn w:val="VerbatimChar"/>
    <w:rPr>
      <w:rFonts w:ascii="Consolas" w:hAnsi="Consolas"/>
      <w:color w:val="4070A0"/>
      <w:sz w:val="22"/>
    </w:rPr>
  </w:style>
  <w:style w:type="character" w:customStyle="1" w:styleId="SpecialStringTok">
    <w:name w:val="SpecialStringTok"/>
    <w:basedOn w:val="VerbatimChar"/>
    <w:rPr>
      <w:rFonts w:ascii="Consolas" w:hAnsi="Consolas"/>
      <w:color w:val="BB6688"/>
      <w:sz w:val="22"/>
    </w:rPr>
  </w:style>
  <w:style w:type="character" w:customStyle="1" w:styleId="ImportTok">
    <w:name w:val="ImportTok"/>
    <w:basedOn w:val="VerbatimChar"/>
    <w:rPr>
      <w:rFonts w:ascii="Consolas" w:hAnsi="Consolas"/>
      <w:b/>
      <w:color w:val="008000"/>
      <w:sz w:val="22"/>
    </w:rPr>
  </w:style>
  <w:style w:type="character" w:customStyle="1" w:styleId="CommentTok">
    <w:name w:val="CommentTok"/>
    <w:basedOn w:val="VerbatimChar"/>
    <w:rPr>
      <w:rFonts w:ascii="Consolas" w:hAnsi="Consolas"/>
      <w:i/>
      <w:color w:val="60A0B0"/>
      <w:sz w:val="22"/>
    </w:rPr>
  </w:style>
  <w:style w:type="character" w:customStyle="1" w:styleId="DocumentationTok">
    <w:name w:val="DocumentationTok"/>
    <w:basedOn w:val="VerbatimChar"/>
    <w:rPr>
      <w:rFonts w:ascii="Consolas" w:hAnsi="Consolas"/>
      <w:i/>
      <w:color w:val="BA2121"/>
      <w:sz w:val="22"/>
    </w:rPr>
  </w:style>
  <w:style w:type="character" w:customStyle="1" w:styleId="AnnotationTok">
    <w:name w:val="Annotation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CommentVarTok">
    <w:name w:val="CommentVar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OtherTok">
    <w:name w:val="OtherTok"/>
    <w:basedOn w:val="VerbatimChar"/>
    <w:rPr>
      <w:rFonts w:ascii="Consolas" w:hAnsi="Consolas"/>
      <w:color w:val="007020"/>
      <w:sz w:val="22"/>
    </w:rPr>
  </w:style>
  <w:style w:type="character" w:customStyle="1" w:styleId="FunctionTok">
    <w:name w:val="FunctionTok"/>
    <w:basedOn w:val="VerbatimChar"/>
    <w:rPr>
      <w:rFonts w:ascii="Consolas" w:hAnsi="Consolas"/>
      <w:color w:val="06287E"/>
      <w:sz w:val="22"/>
    </w:rPr>
  </w:style>
  <w:style w:type="character" w:customStyle="1" w:styleId="VariableTok">
    <w:name w:val="VariableTok"/>
    <w:basedOn w:val="VerbatimChar"/>
    <w:rPr>
      <w:rFonts w:ascii="Consolas" w:hAnsi="Consolas"/>
      <w:color w:val="19177C"/>
      <w:sz w:val="22"/>
    </w:rPr>
  </w:style>
  <w:style w:type="character" w:customStyle="1" w:styleId="ControlFlowTok">
    <w:name w:val="ControlFlowTok"/>
    <w:basedOn w:val="VerbatimChar"/>
    <w:rPr>
      <w:rFonts w:ascii="Consolas" w:hAnsi="Consolas"/>
      <w:b/>
      <w:color w:val="007020"/>
      <w:sz w:val="22"/>
    </w:rPr>
  </w:style>
  <w:style w:type="character" w:customStyle="1" w:styleId="OperatorTok">
    <w:name w:val="OperatorTok"/>
    <w:basedOn w:val="VerbatimChar"/>
    <w:rPr>
      <w:rFonts w:ascii="Consolas" w:hAnsi="Consolas"/>
      <w:color w:val="666666"/>
      <w:sz w:val="22"/>
    </w:rPr>
  </w:style>
  <w:style w:type="character" w:customStyle="1" w:styleId="BuiltInTok">
    <w:name w:val="BuiltInTok"/>
    <w:basedOn w:val="VerbatimChar"/>
    <w:rPr>
      <w:rFonts w:ascii="Consolas" w:hAnsi="Consolas"/>
      <w:color w:val="008000"/>
      <w:sz w:val="22"/>
    </w:rPr>
  </w:style>
  <w:style w:type="character" w:customStyle="1" w:styleId="ExtensionTok">
    <w:name w:val="ExtensionTok"/>
    <w:basedOn w:val="VerbatimChar"/>
    <w:rPr>
      <w:rFonts w:ascii="Consolas" w:hAnsi="Consolas"/>
      <w:sz w:val="22"/>
    </w:rPr>
  </w:style>
  <w:style w:type="character" w:customStyle="1" w:styleId="PreprocessorTok">
    <w:name w:val="PreprocessorTok"/>
    <w:basedOn w:val="VerbatimChar"/>
    <w:rPr>
      <w:rFonts w:ascii="Consolas" w:hAnsi="Consolas"/>
      <w:color w:val="BC7A00"/>
      <w:sz w:val="22"/>
    </w:rPr>
  </w:style>
  <w:style w:type="character" w:customStyle="1" w:styleId="AttributeTok">
    <w:name w:val="AttributeTok"/>
    <w:basedOn w:val="VerbatimChar"/>
    <w:rPr>
      <w:rFonts w:ascii="Consolas" w:hAnsi="Consolas"/>
      <w:color w:val="7D9029"/>
      <w:sz w:val="22"/>
    </w:rPr>
  </w:style>
  <w:style w:type="character" w:customStyle="1" w:styleId="RegionMarkerTok">
    <w:name w:val="RegionMarkerTok"/>
    <w:basedOn w:val="VerbatimChar"/>
    <w:rPr>
      <w:rFonts w:ascii="Consolas" w:hAnsi="Consolas"/>
      <w:sz w:val="22"/>
    </w:rPr>
  </w:style>
  <w:style w:type="character" w:customStyle="1" w:styleId="InformationTok">
    <w:name w:val="Information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WarningTok">
    <w:name w:val="Warning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AlertTok">
    <w:name w:val="AlertTok"/>
    <w:basedOn w:val="VerbatimChar"/>
    <w:rPr>
      <w:rFonts w:ascii="Consolas" w:hAnsi="Consolas"/>
      <w:b/>
      <w:color w:val="FF0000"/>
      <w:sz w:val="22"/>
    </w:rPr>
  </w:style>
  <w:style w:type="character" w:customStyle="1" w:styleId="ErrorTok">
    <w:name w:val="ErrorTok"/>
    <w:basedOn w:val="VerbatimChar"/>
    <w:rPr>
      <w:rFonts w:ascii="Consolas" w:hAnsi="Consolas"/>
      <w:b/>
      <w:color w:val="FF0000"/>
      <w:sz w:val="22"/>
    </w:rPr>
  </w:style>
  <w:style w:type="character" w:customStyle="1" w:styleId="NormalTok">
    <w:name w:val="NormalTok"/>
    <w:basedOn w:val="VerbatimChar"/>
    <w:rPr>
      <w:rFonts w:ascii="Consolas" w:hAnsi="Consolas"/>
      <w:sz w:val="22"/>
    </w:rPr>
  </w:style>
  <w:style w:type="paragraph" w:styleId="NormalWeb">
    <w:name w:val="Normal (Web)"/>
    <w:basedOn w:val="Normal"/>
    <w:uiPriority w:val="99"/>
    <w:unhideWhenUsed/>
    <w:rsid w:val="00604AE5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69447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447</Words>
  <Characters>2551</Characters>
  <Application>Microsoft Office Word</Application>
  <DocSecurity>0</DocSecurity>
  <Lines>21</Lines>
  <Paragraphs>5</Paragraphs>
  <ScaleCrop>false</ScaleCrop>
  <Company/>
  <LinksUpToDate>false</LinksUpToDate>
  <CharactersWithSpaces>2993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keywords/>
  <cp:lastModifiedBy>Gobindo Das</cp:lastModifiedBy>
  <cp:revision>2</cp:revision>
  <dcterms:created xsi:type="dcterms:W3CDTF">2022-01-01T05:00:00Z</dcterms:created>
  <dcterms:modified xsi:type="dcterms:W3CDTF">2026-01-03T07:32:00Z</dcterms:modified>
</cp:coreProperties>
</file>